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全国人民代表大会常务委员会关于加强</w:t>
      </w:r>
    </w:p>
    <w:p>
      <w:pPr>
        <w:jc w:val="center"/>
        <w:rPr>
          <w:rFonts w:ascii="宋体" w:hAnsi="宋体" w:eastAsia="宋体" w:cs="Arial"/>
          <w:bCs/>
          <w:sz w:val="44"/>
          <w:szCs w:val="44"/>
        </w:rPr>
      </w:pPr>
      <w:r>
        <w:rPr>
          <w:rFonts w:ascii="宋体" w:hAnsi="宋体" w:eastAsia="宋体" w:cs="Arial"/>
          <w:bCs/>
          <w:sz w:val="44"/>
          <w:szCs w:val="44"/>
        </w:rPr>
        <w:t>法律解释工作的决议</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（一九八一年六月十日第五届全国人民代表大会常务委员会第十九次会议通过）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仿宋_GB2312" w:hAnsi="仿宋_GB2312" w:eastAsia="仿宋_GB2312" w:cs="仿宋_GB2312"/>
          <w:sz w:val="32"/>
        </w:rPr>
        <w:t>第五届全国人民代表大会第二次会议通过几个法律以来，各地、各部门不断提出一些法律问题要求解释。同时，在实际工作中，由于对某些法律条文的理解不一致，也影响了法律的正确实施。为了健全社会主义法制，必须加强立法和法律解释工作。现对法律解释问题决定如下：</w:t>
      </w:r>
    </w:p>
    <w:p>
      <w:pPr>
        <w:spacing w:line="240" w:lineRule="auto"/>
        <w:ind w:firstLine="640"/>
        <w:jc w:val="both"/>
      </w:pPr>
      <w:r>
        <w:rPr>
          <w:rFonts w:ascii="仿宋_GB2312" w:hAnsi="仿宋_GB2312" w:eastAsia="仿宋_GB2312" w:cs="仿宋_GB2312"/>
          <w:sz w:val="32"/>
        </w:rPr>
        <w:t>一</w:t>
      </w:r>
      <w:r>
        <w:rPr>
          <w:rFonts w:hint="eastAsia" w:ascii="仿宋_GB2312" w:hAnsi="仿宋_GB2312" w:eastAsia="仿宋_GB2312" w:cs="仿宋_GB2312"/>
          <w:sz w:val="32"/>
          <w:lang w:eastAsia="zh-CN"/>
        </w:rPr>
        <w:t>、</w:t>
      </w:r>
      <w:r>
        <w:rPr>
          <w:rFonts w:ascii="仿宋_GB2312" w:hAnsi="仿宋_GB2312" w:eastAsia="仿宋_GB2312" w:cs="仿宋_GB2312"/>
          <w:sz w:val="32"/>
        </w:rPr>
        <w:t>凡关于法律、法令条文本身需要进一步明确界限或作补充规定的，由全国人民代表大会常务委员会进行解释或用法令加以规定。</w:t>
      </w:r>
    </w:p>
    <w:p>
      <w:pPr>
        <w:spacing w:line="240" w:lineRule="auto"/>
        <w:ind w:firstLine="640"/>
        <w:jc w:val="both"/>
      </w:pPr>
      <w:r>
        <w:rPr>
          <w:rFonts w:ascii="仿宋_GB2312" w:hAnsi="仿宋_GB2312" w:eastAsia="仿宋_GB2312" w:cs="仿宋_GB2312"/>
          <w:sz w:val="32"/>
        </w:rPr>
        <w:t>二</w:t>
      </w:r>
      <w:r>
        <w:rPr>
          <w:rFonts w:hint="eastAsia" w:ascii="仿宋_GB2312" w:hAnsi="仿宋_GB2312" w:eastAsia="仿宋_GB2312" w:cs="仿宋_GB2312"/>
          <w:sz w:val="32"/>
          <w:lang w:eastAsia="zh-CN"/>
        </w:rPr>
        <w:t>、</w:t>
      </w:r>
      <w:r>
        <w:rPr>
          <w:rFonts w:ascii="仿宋_GB2312" w:hAnsi="仿宋_GB2312" w:eastAsia="仿宋_GB2312" w:cs="仿宋_GB2312"/>
          <w:sz w:val="32"/>
        </w:rPr>
        <w:t>凡属于法院审判工作中具体应用法律、法令的问题，由最高人民法院进行解释。凡属于检察院检察工作中具体应用法律、法令的问题，由最高人民检察院进行解释。最高人民法院和最高人民检察院的解释如果有原则性的分歧，报请全国人民代表大会常务委员会解释或决定。</w:t>
      </w:r>
    </w:p>
    <w:p>
      <w:pPr>
        <w:spacing w:line="240" w:lineRule="auto"/>
        <w:ind w:firstLine="640"/>
        <w:jc w:val="both"/>
      </w:pPr>
      <w:r>
        <w:rPr>
          <w:rFonts w:ascii="仿宋_GB2312" w:hAnsi="仿宋_GB2312" w:eastAsia="仿宋_GB2312" w:cs="仿宋_GB2312"/>
          <w:sz w:val="32"/>
        </w:rPr>
        <w:t>三</w:t>
      </w:r>
      <w:r>
        <w:rPr>
          <w:rFonts w:hint="eastAsia" w:ascii="仿宋_GB2312" w:hAnsi="仿宋_GB2312" w:eastAsia="仿宋_GB2312" w:cs="仿宋_GB2312"/>
          <w:sz w:val="32"/>
          <w:lang w:eastAsia="zh-CN"/>
        </w:rPr>
        <w:t>、</w:t>
      </w:r>
      <w:r>
        <w:rPr>
          <w:rFonts w:ascii="仿宋_GB2312" w:hAnsi="仿宋_GB2312" w:eastAsia="仿宋_GB2312" w:cs="仿宋_GB2312"/>
          <w:sz w:val="32"/>
        </w:rPr>
        <w:t>不属于审判和检察工作中的其他法律、法令如何具体应用的问题，由国务院及主管部门进行解释。</w:t>
      </w:r>
    </w:p>
    <w:p>
      <w:pPr>
        <w:spacing w:line="240" w:lineRule="auto"/>
        <w:ind w:firstLine="640"/>
        <w:jc w:val="both"/>
      </w:pPr>
      <w:r>
        <w:rPr>
          <w:rFonts w:ascii="仿宋_GB2312" w:hAnsi="仿宋_GB2312" w:eastAsia="仿宋_GB2312" w:cs="仿宋_GB2312"/>
          <w:sz w:val="32"/>
        </w:rPr>
        <w:t>四</w:t>
      </w:r>
      <w:r>
        <w:rPr>
          <w:rFonts w:hint="eastAsia" w:ascii="仿宋_GB2312" w:hAnsi="仿宋_GB2312" w:eastAsia="仿宋_GB2312" w:cs="仿宋_GB2312"/>
          <w:sz w:val="32"/>
          <w:lang w:eastAsia="zh-CN"/>
        </w:rPr>
        <w:t>、</w:t>
      </w:r>
      <w:r>
        <w:rPr>
          <w:rFonts w:ascii="仿宋_GB2312" w:hAnsi="仿宋_GB2312" w:eastAsia="仿宋_GB2312" w:cs="仿宋_GB2312"/>
          <w:sz w:val="32"/>
        </w:rPr>
        <w:t>凡属于地方性法规条文本身需要进一步明确界限或作补充规定的，由制定法规的省、自治区、直辖市人民代表大会常务委员会进行解释或作出规定。凡属于地方性法规如何具体应用的问题，由省、自治区、直辖市人民政府主管部门进行解释。</w:t>
      </w:r>
    </w:p>
    <w:p>
      <w:pPr>
        <w:spacing w:line="240" w:lineRule="auto"/>
        <w:ind w:firstLine="640"/>
        <w:jc w:val="both"/>
      </w:pPr>
      <w:r>
        <w:rPr>
          <w:rFonts w:ascii="仿宋_GB2312" w:hAnsi="仿宋_GB2312" w:eastAsia="仿宋_GB2312" w:cs="仿宋_GB2312"/>
          <w:sz w:val="32"/>
        </w:rPr>
        <w:t>由于林彪、江青反革命集团对社会主义法制的严重破坏和毒害，有些人的法制观念比较薄弱。同时，对法制的宣传教</w:t>
      </w:r>
      <w:r>
        <w:rPr>
          <w:rFonts w:hint="eastAsia" w:ascii="仿宋_GB2312" w:hAnsi="仿宋_GB2312" w:cs="仿宋_GB2312"/>
          <w:sz w:val="32"/>
          <w:lang w:eastAsia="zh-CN"/>
        </w:rPr>
        <w:t>育</w:t>
      </w:r>
      <w:bookmarkStart w:id="3" w:name="_GoBack"/>
      <w:bookmarkEnd w:id="3"/>
      <w:r>
        <w:rPr>
          <w:rFonts w:ascii="仿宋_GB2312" w:hAnsi="仿宋_GB2312" w:eastAsia="仿宋_GB2312" w:cs="仿宋_GB2312"/>
          <w:sz w:val="32"/>
        </w:rPr>
        <w:t>还做得很不够，许多人对法津还很不熟悉。全国人民代表大会常务委员会认为，各级国家机关、各人民团体，都应当结合实际情况和问题，并利用典型案例，有计划有针对性地加强社会主义法制的宣传教育工作，使广大干部，群众了解有关的法律规定，逐步普及法律的基本知识，进一步肃清林彪、江青反革命集团破坏社会主义法制的流毒，教育广大干部、群众，特别是各级领导干部和公安、检察、法院等司法工作人员，认真遵守和正确执行法律，依法处理人民内部的各种纠纷，同时要善于运用法律武器，同一切破坏社会主义法制的违法犯罪行为进行斗争。</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290442E"/>
    <w:rsid w:val="430C211C"/>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2021-02-05T09:03:29Z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